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40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04DD" w:rsidRPr="006D04DD" w14:paraId="54EA27DB" w14:textId="77777777" w:rsidTr="006D04DD">
        <w:trPr>
          <w:trHeight w:val="264"/>
        </w:trPr>
        <w:tc>
          <w:tcPr>
            <w:tcW w:w="9016" w:type="dxa"/>
            <w:shd w:val="clear" w:color="auto" w:fill="CCFFCC"/>
          </w:tcPr>
          <w:p w14:paraId="44B0FD17" w14:textId="146A999F" w:rsidR="006D04DD" w:rsidRPr="006D04DD" w:rsidRDefault="00253B9C" w:rsidP="006D04DD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            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>By t</w:t>
            </w:r>
            <w:r w:rsidR="00E43BA2" w:rsidRPr="00B8169E">
              <w:rPr>
                <w:rFonts w:ascii="Gill Sans MT" w:hAnsi="Gill Sans MT"/>
                <w:b/>
                <w:sz w:val="20"/>
                <w:szCs w:val="20"/>
              </w:rPr>
              <w:t>he end of year 9, pupils in Textiles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 xml:space="preserve"> will be able to …</w:t>
            </w:r>
            <w:r w:rsidR="006D04DD" w:rsidRPr="006D04D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</w:tr>
      <w:tr w:rsidR="006D04DD" w:rsidRPr="006D04DD" w14:paraId="68569A97" w14:textId="77777777" w:rsidTr="00E43BA2">
        <w:trPr>
          <w:trHeight w:val="3769"/>
        </w:trPr>
        <w:tc>
          <w:tcPr>
            <w:tcW w:w="9016" w:type="dxa"/>
          </w:tcPr>
          <w:p w14:paraId="3607E7DB" w14:textId="77777777" w:rsidR="006D04DD" w:rsidRPr="00E43BA2" w:rsidRDefault="006D04DD" w:rsidP="002819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480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Interpret Key questions which frame the learning process. Deepen their understanding of knowledge and skills in relation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 xml:space="preserve">surface decoration and design development. </w:t>
            </w:r>
            <w:r w:rsidR="00BE0774" w:rsidRPr="00CE480E">
              <w:rPr>
                <w:rFonts w:asciiTheme="minorHAnsi" w:hAnsiTheme="minorHAnsi" w:cstheme="minorHAnsi"/>
                <w:sz w:val="20"/>
                <w:szCs w:val="20"/>
              </w:rPr>
              <w:t>Describe the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 needs for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 xml:space="preserve"> gaining inspiration from everyday objects and other artists and designers. 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>Demonstrat</w:t>
            </w:r>
            <w:r w:rsidR="00B7680D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e a knowledge 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of where 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>surface decoration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 techniques should be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 xml:space="preserve"> used and how they are fit for purpose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>Carry out practical activities ev</w:t>
            </w:r>
            <w:r w:rsidR="00B7680D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aluating 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 xml:space="preserve"> explaining how they reflect the chosen artist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. Demonstrate the principles of 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hand </w:t>
            </w:r>
            <w:r w:rsidR="0089775F">
              <w:rPr>
                <w:rFonts w:asciiTheme="minorHAnsi" w:hAnsiTheme="minorHAnsi" w:cstheme="minorHAnsi"/>
                <w:sz w:val="20"/>
                <w:szCs w:val="20"/>
              </w:rPr>
              <w:t xml:space="preserve">and machine 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stitching 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>independently. Develop and demonstrate a wider range of practical skills and techniques using a variety of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19BD">
              <w:rPr>
                <w:rFonts w:asciiTheme="minorHAnsi" w:hAnsiTheme="minorHAnsi" w:cstheme="minorHAnsi"/>
                <w:sz w:val="20"/>
                <w:szCs w:val="20"/>
              </w:rPr>
              <w:t>Textiles specific equipment and materials</w:t>
            </w:r>
            <w:r w:rsidR="00CE480E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 Eva</w:t>
            </w:r>
            <w:r w:rsidR="005E378E">
              <w:rPr>
                <w:rFonts w:asciiTheme="minorHAnsi" w:hAnsiTheme="minorHAnsi" w:cstheme="minorHAnsi"/>
                <w:sz w:val="20"/>
                <w:szCs w:val="20"/>
              </w:rPr>
              <w:t xml:space="preserve">luate the planning, making </w:t>
            </w:r>
            <w:r w:rsidR="005E378E" w:rsidRPr="00CE480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B7680D"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 outcomes of</w:t>
            </w:r>
            <w:r w:rsidRPr="00CE480E">
              <w:rPr>
                <w:rFonts w:asciiTheme="minorHAnsi" w:hAnsiTheme="minorHAnsi" w:cstheme="minorHAnsi"/>
                <w:sz w:val="20"/>
                <w:szCs w:val="20"/>
              </w:rPr>
              <w:t xml:space="preserve"> products and recommend any modifications. </w:t>
            </w:r>
            <w:r w:rsidRPr="00CE480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Apply and consolidate their literacy and numeracy skills by using them purposefully in real-life scenarios. Enjoy and achieve!</w:t>
            </w:r>
          </w:p>
        </w:tc>
      </w:tr>
    </w:tbl>
    <w:tbl>
      <w:tblPr>
        <w:tblStyle w:val="TableGrid"/>
        <w:tblpPr w:leftFromText="180" w:rightFromText="180" w:vertAnchor="page" w:horzAnchor="margin" w:tblpY="123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04DD" w:rsidRPr="006D04DD" w14:paraId="025B1AD7" w14:textId="77777777" w:rsidTr="006D04DD">
        <w:trPr>
          <w:trHeight w:val="274"/>
        </w:trPr>
        <w:tc>
          <w:tcPr>
            <w:tcW w:w="9016" w:type="dxa"/>
            <w:shd w:val="clear" w:color="auto" w:fill="CCFFCC"/>
          </w:tcPr>
          <w:p w14:paraId="5D75917C" w14:textId="2EF8E28E" w:rsidR="006D04DD" w:rsidRPr="00B8169E" w:rsidRDefault="00253B9C" w:rsidP="006D04D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                    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>By t</w:t>
            </w:r>
            <w:r w:rsidR="003774F2" w:rsidRPr="00B8169E">
              <w:rPr>
                <w:rFonts w:ascii="Gill Sans MT" w:hAnsi="Gill Sans MT"/>
                <w:b/>
                <w:sz w:val="20"/>
                <w:szCs w:val="20"/>
              </w:rPr>
              <w:t>he end of year 7, pupils in Textiles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 xml:space="preserve"> will be able to … </w:t>
            </w:r>
          </w:p>
        </w:tc>
      </w:tr>
      <w:tr w:rsidR="006D04DD" w:rsidRPr="006D04DD" w14:paraId="28773EA4" w14:textId="77777777" w:rsidTr="006D04DD">
        <w:trPr>
          <w:trHeight w:val="3066"/>
        </w:trPr>
        <w:tc>
          <w:tcPr>
            <w:tcW w:w="9016" w:type="dxa"/>
          </w:tcPr>
          <w:p w14:paraId="7C2166F2" w14:textId="77777777" w:rsidR="006D04DD" w:rsidRPr="006D04DD" w:rsidRDefault="006D04DD" w:rsidP="00C549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Interpret </w:t>
            </w:r>
            <w:r w:rsidR="00C5499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and produce a response to a set design brief.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Show an understanding of the need 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for the design process in order to make quality Textile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products. Explain and apply the principles </w:t>
            </w:r>
            <w:r w:rsidR="00C5499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of </w:t>
            </w:r>
            <w:r w:rsidR="008D77FF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seam allowance </w:t>
            </w:r>
            <w:r w:rsidR="00C5499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through</w:t>
            </w:r>
            <w:r w:rsidR="008D77FF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the use of pin, tack</w:t>
            </w:r>
            <w:r w:rsidR="00C5499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="008D77FF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sew methods.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Acquire and demonstrate the princ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iples of working safely with machines, processes and techniques. </w:t>
            </w:r>
            <w:r w:rsidR="00CB4D68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Become familiar with the </w:t>
            </w:r>
            <w:r w:rsidR="00F17DA1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different parts and functions of</w:t>
            </w:r>
            <w:r w:rsidR="00CB4D68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the sewing machine. 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Develop a range of surface decoration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skills, processe</w:t>
            </w:r>
            <w:r w:rsidR="00D17DFC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s and creative techniques. M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easure </w:t>
            </w:r>
            <w:r w:rsidR="00D17DFC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and cut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accurately. Demonstrate the safe use of </w:t>
            </w:r>
            <w:r w:rsidR="00402D4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sewing machine by showing competency through the driving test assessment</w:t>
            </w:r>
            <w:r w:rsidR="00402D4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. Take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the opportunity to prepare and make a range of </w:t>
            </w:r>
            <w:r w:rsidR="00F17DA1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surface prints following a relief print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method. Plan for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the process of making. Evaluate practical outcomes and suggest changes to the process of making and the 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usability for potential customers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. Apply and consolidate their literacy and numeracy skills by using them purposefully </w:t>
            </w:r>
            <w:r w:rsidR="003774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throughout the design process. Feel a sense of enjoyment and fulfilment. </w:t>
            </w:r>
          </w:p>
        </w:tc>
      </w:tr>
    </w:tbl>
    <w:p w14:paraId="01AAD334" w14:textId="77777777" w:rsidR="008F4EFB" w:rsidRDefault="008F4EFB" w:rsidP="008F4EFB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shd w:val="clear" w:color="auto" w:fill="FFFFFF"/>
          <w:lang w:eastAsia="en-GB"/>
        </w:rPr>
      </w:pPr>
    </w:p>
    <w:tbl>
      <w:tblPr>
        <w:tblStyle w:val="TableGrid"/>
        <w:tblpPr w:leftFromText="180" w:rightFromText="180" w:vertAnchor="page" w:horzAnchor="margin" w:tblpY="4756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6D04DD" w:rsidRPr="006D04DD" w14:paraId="5452CDE7" w14:textId="77777777" w:rsidTr="006D04DD">
        <w:trPr>
          <w:trHeight w:val="257"/>
        </w:trPr>
        <w:tc>
          <w:tcPr>
            <w:tcW w:w="9016" w:type="dxa"/>
            <w:shd w:val="clear" w:color="auto" w:fill="CCFFCC"/>
          </w:tcPr>
          <w:p w14:paraId="11751928" w14:textId="03FA31F4" w:rsidR="006D04DD" w:rsidRPr="006D04DD" w:rsidRDefault="00253B9C" w:rsidP="006D04DD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     </w:t>
            </w:r>
            <w:r w:rsidR="00B8169E">
              <w:rPr>
                <w:rFonts w:ascii="Gill Sans MT" w:hAnsi="Gill Sans MT"/>
                <w:sz w:val="20"/>
                <w:szCs w:val="20"/>
              </w:rPr>
              <w:t xml:space="preserve">        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>By t</w:t>
            </w:r>
            <w:r w:rsidR="00E43BA2" w:rsidRPr="00B8169E">
              <w:rPr>
                <w:rFonts w:ascii="Gill Sans MT" w:hAnsi="Gill Sans MT"/>
                <w:b/>
                <w:sz w:val="20"/>
                <w:szCs w:val="20"/>
              </w:rPr>
              <w:t>he end of year 8, pupils in Textiles</w:t>
            </w:r>
            <w:r w:rsidR="006D04DD" w:rsidRPr="00B8169E">
              <w:rPr>
                <w:rFonts w:ascii="Gill Sans MT" w:hAnsi="Gill Sans MT"/>
                <w:b/>
                <w:sz w:val="20"/>
                <w:szCs w:val="20"/>
              </w:rPr>
              <w:t xml:space="preserve"> will be able to …</w:t>
            </w:r>
            <w:r w:rsidR="006D04DD" w:rsidRPr="006D04DD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</w:tr>
      <w:tr w:rsidR="006D04DD" w:rsidRPr="006D04DD" w14:paraId="50FDCDAE" w14:textId="77777777" w:rsidTr="00726191">
        <w:trPr>
          <w:trHeight w:val="3340"/>
        </w:trPr>
        <w:tc>
          <w:tcPr>
            <w:tcW w:w="9016" w:type="dxa"/>
          </w:tcPr>
          <w:p w14:paraId="07B1F482" w14:textId="77777777" w:rsidR="006D04DD" w:rsidRPr="006D04DD" w:rsidRDefault="006D04DD" w:rsidP="004665A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Interpret Key questions which frame the learning process. 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Show clear development in their understanding of knowledge and skills developed in year 7 in relation to 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>the sewing machine, textile processes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 and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 xml:space="preserve"> the creation of quality products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D77FF"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D77FF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Explain and apply the principles </w:t>
            </w:r>
            <w:r w:rsidR="008D77FF"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of </w:t>
            </w:r>
            <w:r w:rsidR="004665A9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8D77FF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pplique using specific stitch typ</w:t>
            </w:r>
            <w:r w:rsidR="00CB4D68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es and machine settings. Be able to 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explain how and why 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 xml:space="preserve">research is conducted in the development of a design. 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They will develop and apply their knowledge and understanding of 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 xml:space="preserve">pin, tack sew methods in order to acquire new skills in single and double hem finishes. 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They will develop and demonstrate a wider range of 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>machine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65A9">
              <w:rPr>
                <w:rFonts w:asciiTheme="minorHAnsi" w:hAnsiTheme="minorHAnsi" w:cstheme="minorHAnsi"/>
                <w:sz w:val="20"/>
                <w:szCs w:val="20"/>
              </w:rPr>
              <w:t xml:space="preserve">where developed skill </w:t>
            </w:r>
            <w:proofErr w:type="gramStart"/>
            <w:r w:rsidR="004665A9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gramEnd"/>
            <w:r w:rsidR="004665A9">
              <w:rPr>
                <w:rFonts w:asciiTheme="minorHAnsi" w:hAnsiTheme="minorHAnsi" w:cstheme="minorHAnsi"/>
                <w:sz w:val="20"/>
                <w:szCs w:val="20"/>
              </w:rPr>
              <w:t xml:space="preserve"> to be applied to the more challenging tasks.</w:t>
            </w:r>
            <w:r w:rsidR="00CB4D6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D04D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They will have the opportunity to prepare and make </w:t>
            </w:r>
            <w:r w:rsidR="00CB4D6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applique designs they have created based on their research findings</w:t>
            </w:r>
            <w:r w:rsidRPr="006D04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D04D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Plan </w:t>
            </w:r>
            <w:r w:rsidR="009935B7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for 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the process of making. Evaluate practical outcomes and suggest changes to the process of making and </w:t>
            </w:r>
            <w:r w:rsidR="009935B7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usability for potential customers</w:t>
            </w:r>
            <w:r w:rsidRPr="006D04DD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. Apply and consolidate their literacy and numeracy skills by using them purposefully in real-life scenarios. Enjoy and achieve!</w:t>
            </w:r>
          </w:p>
        </w:tc>
      </w:tr>
    </w:tbl>
    <w:p w14:paraId="33C87DBA" w14:textId="77777777" w:rsidR="005B7926" w:rsidRDefault="005B7926" w:rsidP="00B45E3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pPr w:leftFromText="180" w:rightFromText="180" w:horzAnchor="page" w:tblpX="12016" w:tblpY="-300"/>
        <w:tblW w:w="1843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327E52" w:rsidRPr="0078507B" w14:paraId="355E9E2E" w14:textId="77777777" w:rsidTr="002F71C7">
        <w:trPr>
          <w:cantSplit/>
          <w:trHeight w:val="4029"/>
        </w:trPr>
        <w:tc>
          <w:tcPr>
            <w:tcW w:w="1843" w:type="dxa"/>
          </w:tcPr>
          <w:p w14:paraId="2D8C2987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Investigation –Popcorn</w:t>
            </w:r>
          </w:p>
          <w:p w14:paraId="7521FB87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Shortcrust pastry</w:t>
            </w:r>
          </w:p>
          <w:p w14:paraId="33BB61EE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Tartlets</w:t>
            </w:r>
          </w:p>
          <w:p w14:paraId="36A8B2EA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Flaky Pastry</w:t>
            </w:r>
          </w:p>
          <w:p w14:paraId="00E4917B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Filling and shaped product</w:t>
            </w:r>
          </w:p>
          <w:p w14:paraId="5BADC052" w14:textId="77777777" w:rsidR="00327E52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Cake product</w:t>
            </w:r>
          </w:p>
          <w:p w14:paraId="33B8032D" w14:textId="77777777" w:rsidR="00327E52" w:rsidRPr="0078507B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Cookies/Viennese fingers</w:t>
            </w:r>
          </w:p>
        </w:tc>
      </w:tr>
      <w:tr w:rsidR="00327E52" w:rsidRPr="0078507B" w14:paraId="00E2A463" w14:textId="77777777" w:rsidTr="002F71C7">
        <w:trPr>
          <w:cantSplit/>
          <w:trHeight w:val="531"/>
        </w:trPr>
        <w:tc>
          <w:tcPr>
            <w:tcW w:w="1843" w:type="dxa"/>
          </w:tcPr>
          <w:p w14:paraId="09E71378" w14:textId="77777777" w:rsidR="00327E52" w:rsidRPr="0078507B" w:rsidRDefault="00327E52" w:rsidP="002F71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Investigation – making pasta</w:t>
            </w:r>
          </w:p>
        </w:tc>
      </w:tr>
    </w:tbl>
    <w:p w14:paraId="11C90983" w14:textId="77777777" w:rsidR="00B45E33" w:rsidRDefault="00B45E33" w:rsidP="00B45E33"/>
    <w:sectPr w:rsidR="00B4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815"/>
    <w:multiLevelType w:val="hybridMultilevel"/>
    <w:tmpl w:val="E1B6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BE8"/>
    <w:multiLevelType w:val="hybridMultilevel"/>
    <w:tmpl w:val="76063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BE9"/>
    <w:multiLevelType w:val="hybridMultilevel"/>
    <w:tmpl w:val="42FA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609"/>
    <w:multiLevelType w:val="multilevel"/>
    <w:tmpl w:val="9118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36B5F"/>
    <w:multiLevelType w:val="hybridMultilevel"/>
    <w:tmpl w:val="EC1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0B"/>
    <w:multiLevelType w:val="multilevel"/>
    <w:tmpl w:val="2ED4F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D02D8"/>
    <w:multiLevelType w:val="hybridMultilevel"/>
    <w:tmpl w:val="7552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C67C4"/>
    <w:multiLevelType w:val="multilevel"/>
    <w:tmpl w:val="150EF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D2FCA"/>
    <w:multiLevelType w:val="multilevel"/>
    <w:tmpl w:val="03F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412683">
    <w:abstractNumId w:val="0"/>
  </w:num>
  <w:num w:numId="2" w16cid:durableId="1301152184">
    <w:abstractNumId w:val="2"/>
  </w:num>
  <w:num w:numId="3" w16cid:durableId="1560171112">
    <w:abstractNumId w:val="1"/>
  </w:num>
  <w:num w:numId="4" w16cid:durableId="1014458953">
    <w:abstractNumId w:val="6"/>
  </w:num>
  <w:num w:numId="5" w16cid:durableId="9185749">
    <w:abstractNumId w:val="4"/>
  </w:num>
  <w:num w:numId="6" w16cid:durableId="2074574521">
    <w:abstractNumId w:val="3"/>
  </w:num>
  <w:num w:numId="7" w16cid:durableId="1343703490">
    <w:abstractNumId w:val="7"/>
  </w:num>
  <w:num w:numId="8" w16cid:durableId="872501389">
    <w:abstractNumId w:val="8"/>
  </w:num>
  <w:num w:numId="9" w16cid:durableId="1861163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33"/>
    <w:rsid w:val="0007254C"/>
    <w:rsid w:val="000D15E2"/>
    <w:rsid w:val="000E5E08"/>
    <w:rsid w:val="00107E06"/>
    <w:rsid w:val="0012494E"/>
    <w:rsid w:val="00132278"/>
    <w:rsid w:val="00146C42"/>
    <w:rsid w:val="00175416"/>
    <w:rsid w:val="001A65D7"/>
    <w:rsid w:val="001F168F"/>
    <w:rsid w:val="00253B9C"/>
    <w:rsid w:val="00262436"/>
    <w:rsid w:val="002819BD"/>
    <w:rsid w:val="00295988"/>
    <w:rsid w:val="002F71C7"/>
    <w:rsid w:val="00327E52"/>
    <w:rsid w:val="0033777C"/>
    <w:rsid w:val="00350281"/>
    <w:rsid w:val="00367777"/>
    <w:rsid w:val="003774F2"/>
    <w:rsid w:val="003A6D9E"/>
    <w:rsid w:val="003C0AF3"/>
    <w:rsid w:val="00402D42"/>
    <w:rsid w:val="00424883"/>
    <w:rsid w:val="004665A9"/>
    <w:rsid w:val="004F111B"/>
    <w:rsid w:val="00502B35"/>
    <w:rsid w:val="00505158"/>
    <w:rsid w:val="00544C38"/>
    <w:rsid w:val="005B7926"/>
    <w:rsid w:val="005C5F7E"/>
    <w:rsid w:val="005E378E"/>
    <w:rsid w:val="006800BF"/>
    <w:rsid w:val="00681EF2"/>
    <w:rsid w:val="00693289"/>
    <w:rsid w:val="006A6A29"/>
    <w:rsid w:val="006B07CD"/>
    <w:rsid w:val="006D04DD"/>
    <w:rsid w:val="00726191"/>
    <w:rsid w:val="007527B6"/>
    <w:rsid w:val="00781FE8"/>
    <w:rsid w:val="0081074F"/>
    <w:rsid w:val="0089775F"/>
    <w:rsid w:val="008C580F"/>
    <w:rsid w:val="008C5A13"/>
    <w:rsid w:val="008D77FF"/>
    <w:rsid w:val="008D7A4F"/>
    <w:rsid w:val="008E0236"/>
    <w:rsid w:val="008F4EFB"/>
    <w:rsid w:val="00911E83"/>
    <w:rsid w:val="00953241"/>
    <w:rsid w:val="009935B7"/>
    <w:rsid w:val="00A0434E"/>
    <w:rsid w:val="00A20EC4"/>
    <w:rsid w:val="00A76E06"/>
    <w:rsid w:val="00A9326F"/>
    <w:rsid w:val="00AB6DC8"/>
    <w:rsid w:val="00B11323"/>
    <w:rsid w:val="00B356ED"/>
    <w:rsid w:val="00B45E33"/>
    <w:rsid w:val="00B555D9"/>
    <w:rsid w:val="00B7680D"/>
    <w:rsid w:val="00B8169E"/>
    <w:rsid w:val="00BE0774"/>
    <w:rsid w:val="00C5499D"/>
    <w:rsid w:val="00CB4D68"/>
    <w:rsid w:val="00CE480E"/>
    <w:rsid w:val="00D02D72"/>
    <w:rsid w:val="00D17DFC"/>
    <w:rsid w:val="00DA4D77"/>
    <w:rsid w:val="00DC6342"/>
    <w:rsid w:val="00E43BA2"/>
    <w:rsid w:val="00E57F85"/>
    <w:rsid w:val="00E64BC1"/>
    <w:rsid w:val="00E758BB"/>
    <w:rsid w:val="00F0708F"/>
    <w:rsid w:val="00F17DA1"/>
    <w:rsid w:val="00F308D9"/>
    <w:rsid w:val="00F81FE6"/>
    <w:rsid w:val="00FA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1C2E"/>
  <w15:chartTrackingRefBased/>
  <w15:docId w15:val="{B7236D9E-0100-420E-AFEF-D9FA3429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E3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26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2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4EF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Hillcrest School and Sixth Form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Kirsz</dc:creator>
  <cp:keywords/>
  <dc:description/>
  <cp:lastModifiedBy>A Kirsz</cp:lastModifiedBy>
  <cp:revision>2</cp:revision>
  <dcterms:created xsi:type="dcterms:W3CDTF">2025-07-10T07:25:00Z</dcterms:created>
  <dcterms:modified xsi:type="dcterms:W3CDTF">2025-07-10T07:25:00Z</dcterms:modified>
</cp:coreProperties>
</file>