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0"/>
        <w:gridCol w:w="3090"/>
        <w:gridCol w:w="3090"/>
        <w:gridCol w:w="3090"/>
        <w:gridCol w:w="3028"/>
        <w:gridCol w:w="63"/>
      </w:tblGrid>
      <w:tr w:rsidR="00905DF2" w:rsidRPr="00EB1B1D" w14:paraId="5E3EFB5B" w14:textId="77777777" w:rsidTr="00905DF2">
        <w:trPr>
          <w:trHeight w:val="794"/>
        </w:trPr>
        <w:tc>
          <w:tcPr>
            <w:tcW w:w="3090" w:type="dxa"/>
            <w:vAlign w:val="center"/>
          </w:tcPr>
          <w:p w14:paraId="373CDD98" w14:textId="77777777" w:rsidR="00905DF2" w:rsidRDefault="00905DF2" w:rsidP="00905DF2">
            <w:pPr>
              <w:jc w:val="center"/>
            </w:pPr>
            <w:r>
              <w:t>1947</w:t>
            </w:r>
          </w:p>
          <w:p w14:paraId="7508E900" w14:textId="4855E65B" w:rsidR="00905DF2" w:rsidRPr="00EB1B1D" w:rsidRDefault="00905DF2" w:rsidP="00905DF2">
            <w:pPr>
              <w:jc w:val="center"/>
            </w:pPr>
            <w:r>
              <w:t>India and Pakistan: independence and Partition</w:t>
            </w:r>
          </w:p>
        </w:tc>
        <w:tc>
          <w:tcPr>
            <w:tcW w:w="3090" w:type="dxa"/>
            <w:vAlign w:val="center"/>
          </w:tcPr>
          <w:p w14:paraId="578B4365" w14:textId="77777777" w:rsidR="00905DF2" w:rsidRDefault="00905DF2" w:rsidP="00905DF2">
            <w:pPr>
              <w:jc w:val="center"/>
            </w:pPr>
            <w:r>
              <w:t xml:space="preserve">1957 </w:t>
            </w:r>
          </w:p>
          <w:p w14:paraId="29D4C49B" w14:textId="0D64E77C" w:rsidR="00905DF2" w:rsidRPr="00EB1B1D" w:rsidRDefault="00905DF2" w:rsidP="00905DF2">
            <w:pPr>
              <w:jc w:val="center"/>
            </w:pPr>
            <w:r>
              <w:t xml:space="preserve">Ghanaian independence </w:t>
            </w:r>
          </w:p>
        </w:tc>
        <w:tc>
          <w:tcPr>
            <w:tcW w:w="3090" w:type="dxa"/>
            <w:vAlign w:val="center"/>
          </w:tcPr>
          <w:p w14:paraId="08EA78B0" w14:textId="77777777" w:rsidR="00905DF2" w:rsidRDefault="00905DF2" w:rsidP="00905DF2">
            <w:pPr>
              <w:jc w:val="center"/>
            </w:pPr>
            <w:r>
              <w:t>1950s-1980s</w:t>
            </w:r>
          </w:p>
          <w:p w14:paraId="77445560" w14:textId="2624BDC6" w:rsidR="00905DF2" w:rsidRPr="00EB1B1D" w:rsidRDefault="00905DF2" w:rsidP="00905DF2">
            <w:pPr>
              <w:jc w:val="center"/>
            </w:pPr>
            <w:r>
              <w:t xml:space="preserve">Colonies of the British Empire gain independence </w:t>
            </w:r>
          </w:p>
        </w:tc>
        <w:tc>
          <w:tcPr>
            <w:tcW w:w="3090" w:type="dxa"/>
            <w:vAlign w:val="center"/>
          </w:tcPr>
          <w:p w14:paraId="6A91137E" w14:textId="77777777" w:rsidR="00905DF2" w:rsidRDefault="00905DF2" w:rsidP="00905DF2">
            <w:pPr>
              <w:jc w:val="center"/>
            </w:pPr>
            <w:r>
              <w:t>1980s</w:t>
            </w:r>
          </w:p>
          <w:p w14:paraId="05EBD2BA" w14:textId="59062708" w:rsidR="00905DF2" w:rsidRPr="00EB1B1D" w:rsidRDefault="00905DF2" w:rsidP="00905DF2">
            <w:pPr>
              <w:jc w:val="center"/>
            </w:pPr>
            <w:r>
              <w:t>“Cambridge School”–historical perspective of decolonisation</w:t>
            </w:r>
          </w:p>
        </w:tc>
        <w:tc>
          <w:tcPr>
            <w:tcW w:w="3091" w:type="dxa"/>
            <w:gridSpan w:val="2"/>
            <w:vAlign w:val="center"/>
          </w:tcPr>
          <w:p w14:paraId="1D043A5C" w14:textId="77777777" w:rsidR="00905DF2" w:rsidRDefault="00905DF2" w:rsidP="00905DF2">
            <w:pPr>
              <w:jc w:val="center"/>
            </w:pPr>
            <w:r>
              <w:t>2000s</w:t>
            </w:r>
          </w:p>
          <w:p w14:paraId="620B155A" w14:textId="6C5376EC" w:rsidR="00905DF2" w:rsidRPr="00EB1B1D" w:rsidRDefault="00905DF2" w:rsidP="00905DF2">
            <w:pPr>
              <w:jc w:val="center"/>
            </w:pPr>
            <w:r>
              <w:t>“New Imperial History”–</w:t>
            </w:r>
            <w:r w:rsidR="00D916AC">
              <w:t xml:space="preserve"> </w:t>
            </w:r>
            <w:r>
              <w:t>historical perspective of decolonisation</w:t>
            </w:r>
          </w:p>
        </w:tc>
      </w:tr>
      <w:tr w:rsidR="00905DF2" w:rsidRPr="00EB1B1D" w14:paraId="264324DE" w14:textId="77777777" w:rsidTr="00A92098">
        <w:trPr>
          <w:gridAfter w:val="1"/>
          <w:wAfter w:w="63" w:type="dxa"/>
        </w:trPr>
        <w:tc>
          <w:tcPr>
            <w:tcW w:w="15388" w:type="dxa"/>
            <w:gridSpan w:val="5"/>
            <w:vAlign w:val="center"/>
          </w:tcPr>
          <w:p w14:paraId="313DADD9" w14:textId="77777777" w:rsidR="00905DF2" w:rsidRPr="00EB1B1D" w:rsidRDefault="00905DF2" w:rsidP="00905DF2">
            <w:pPr>
              <w:jc w:val="center"/>
            </w:pPr>
            <w:r w:rsidRPr="00EB1B1D">
              <w:rPr>
                <w:noProof/>
                <w:lang w:eastAsia="en-GB"/>
              </w:rPr>
              <mc:AlternateContent>
                <mc:Choice Requires="wps">
                  <w:drawing>
                    <wp:inline distT="0" distB="0" distL="0" distR="0" wp14:anchorId="3A91F1EA" wp14:editId="0BFA6139">
                      <wp:extent cx="9516140" cy="0"/>
                      <wp:effectExtent l="0" t="95250" r="0" b="95250"/>
                      <wp:docPr id="1" name="Straight Arrow Connector 1"/>
                      <wp:cNvGraphicFramePr/>
                      <a:graphic xmlns:a="http://schemas.openxmlformats.org/drawingml/2006/main">
                        <a:graphicData uri="http://schemas.microsoft.com/office/word/2010/wordprocessingShape">
                          <wps:wsp>
                            <wps:cNvCnPr/>
                            <wps:spPr>
                              <a:xfrm flipV="1">
                                <a:off x="0" y="0"/>
                                <a:ext cx="951614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type w14:anchorId="73E4E1D7" id="_x0000_t32" coordsize="21600,21600" o:spt="32" o:oned="t" path="m,l21600,21600e" filled="f">
                      <v:path arrowok="t" fillok="f" o:connecttype="none"/>
                      <o:lock v:ext="edit" shapetype="t"/>
                    </v:shapetype>
                    <v:shape id="Straight Arrow Connector 1" o:spid="_x0000_s1026" type="#_x0000_t32" style="width:749.3pt;height:0;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" strokecolor="black [3200]" strokeweight="2.25pt">
                      <v:stroke endarrow="block" joinstyle="miter"/>
                      <w10:anchorlock/>
                    </v:shape>
                  </w:pict>
                </mc:Fallback>
              </mc:AlternateContent>
            </w:r>
          </w:p>
        </w:tc>
      </w:tr>
    </w:tbl>
    <w:p w14:paraId="050AA8A5" w14:textId="77777777" w:rsidR="009B3737" w:rsidRDefault="009B3737" w:rsidP="009B3737">
      <w:pPr>
        <w:sectPr w:rsidR="009B3737" w:rsidSect="004D41FA">
          <w:headerReference w:type="default" r:id="rId7"/>
          <w:pgSz w:w="16838" w:h="11906" w:orient="landscape"/>
          <w:pgMar w:top="720" w:right="720" w:bottom="720" w:left="720" w:header="708" w:footer="708" w:gutter="0"/>
          <w:cols w:space="708"/>
          <w:docGrid w:linePitch="360"/>
        </w:sectPr>
      </w:pPr>
    </w:p>
    <w:p w14:paraId="04F479B1" w14:textId="77777777" w:rsidR="009B3737" w:rsidRDefault="009B3737" w:rsidP="009B3737">
      <w:pPr>
        <w:spacing w:after="0"/>
      </w:pPr>
      <w:r>
        <w:t xml:space="preserve">Key people, ideas and developments </w:t>
      </w:r>
    </w:p>
    <w:tbl>
      <w:tblPr>
        <w:tblStyle w:val="TableGrid"/>
        <w:tblW w:w="0" w:type="auto"/>
        <w:tblLook w:val="04A0" w:firstRow="1" w:lastRow="0" w:firstColumn="1" w:lastColumn="0" w:noHBand="0" w:noVBand="1"/>
      </w:tblPr>
      <w:tblGrid>
        <w:gridCol w:w="551"/>
        <w:gridCol w:w="1441"/>
        <w:gridCol w:w="5343"/>
      </w:tblGrid>
      <w:tr w:rsidR="009B3737" w:rsidRPr="002E3559" w14:paraId="6BD62C29" w14:textId="77777777" w:rsidTr="00A92098">
        <w:tc>
          <w:tcPr>
            <w:tcW w:w="551" w:type="dxa"/>
          </w:tcPr>
          <w:p w14:paraId="31ED342C" w14:textId="77777777" w:rsidR="009B3737" w:rsidRPr="002E3559" w:rsidRDefault="009B3737" w:rsidP="00A92098">
            <w:pPr>
              <w:rPr>
                <w:szCs w:val="20"/>
              </w:rPr>
            </w:pPr>
            <w:r w:rsidRPr="002E3559">
              <w:rPr>
                <w:szCs w:val="20"/>
              </w:rPr>
              <w:t>1</w:t>
            </w:r>
          </w:p>
        </w:tc>
        <w:tc>
          <w:tcPr>
            <w:tcW w:w="1441" w:type="dxa"/>
          </w:tcPr>
          <w:p w14:paraId="73F750A7" w14:textId="6B7C634F" w:rsidR="009B3737" w:rsidRPr="002E3559" w:rsidRDefault="00947295" w:rsidP="00A92098">
            <w:pPr>
              <w:rPr>
                <w:szCs w:val="20"/>
              </w:rPr>
            </w:pPr>
            <w:r>
              <w:rPr>
                <w:szCs w:val="20"/>
              </w:rPr>
              <w:t>Decolonisation</w:t>
            </w:r>
          </w:p>
        </w:tc>
        <w:tc>
          <w:tcPr>
            <w:tcW w:w="5343" w:type="dxa"/>
          </w:tcPr>
          <w:p w14:paraId="71DDFA3F" w14:textId="5C9DA139" w:rsidR="009B3737" w:rsidRPr="002E3559" w:rsidRDefault="00947295" w:rsidP="00A92098">
            <w:pPr>
              <w:rPr>
                <w:szCs w:val="20"/>
              </w:rPr>
            </w:pPr>
            <w:r>
              <w:rPr>
                <w:szCs w:val="20"/>
              </w:rPr>
              <w:t xml:space="preserve">To start with, decolonisation meant the political process of colonies gaining independent from empire.  In the British Empire, this process took place in the 1940s to 1980s.  More recently, people have started using the word to describe a cultural and social process, where the legacy of empire stops having as much influence, for example when the knowledge and contributions of former colonised people are celebrated. </w:t>
            </w:r>
          </w:p>
        </w:tc>
      </w:tr>
      <w:tr w:rsidR="009B3737" w:rsidRPr="002E3559" w14:paraId="7AF0A0A7" w14:textId="77777777" w:rsidTr="00A92098">
        <w:tc>
          <w:tcPr>
            <w:tcW w:w="551" w:type="dxa"/>
          </w:tcPr>
          <w:p w14:paraId="126902AE" w14:textId="77777777" w:rsidR="009B3737" w:rsidRPr="002E3559" w:rsidRDefault="009B3737" w:rsidP="00A92098">
            <w:pPr>
              <w:rPr>
                <w:szCs w:val="20"/>
              </w:rPr>
            </w:pPr>
            <w:r w:rsidRPr="002E3559">
              <w:rPr>
                <w:szCs w:val="20"/>
              </w:rPr>
              <w:t>2</w:t>
            </w:r>
          </w:p>
        </w:tc>
        <w:tc>
          <w:tcPr>
            <w:tcW w:w="1441" w:type="dxa"/>
          </w:tcPr>
          <w:p w14:paraId="61988255" w14:textId="4D50EEF1" w:rsidR="009B3737" w:rsidRPr="002E3559" w:rsidRDefault="00947295" w:rsidP="00A92098">
            <w:pPr>
              <w:rPr>
                <w:szCs w:val="20"/>
              </w:rPr>
            </w:pPr>
            <w:r>
              <w:rPr>
                <w:szCs w:val="20"/>
              </w:rPr>
              <w:t>Independence and partition in India and Pakistan</w:t>
            </w:r>
          </w:p>
        </w:tc>
        <w:tc>
          <w:tcPr>
            <w:tcW w:w="5343" w:type="dxa"/>
          </w:tcPr>
          <w:p w14:paraId="32CCEEC4" w14:textId="431AE57C" w:rsidR="009B3737" w:rsidRPr="002E3559" w:rsidRDefault="00947295" w:rsidP="00A92098">
            <w:pPr>
              <w:rPr>
                <w:szCs w:val="20"/>
              </w:rPr>
            </w:pPr>
            <w:r>
              <w:rPr>
                <w:szCs w:val="20"/>
              </w:rPr>
              <w:t>An Indian nationalist movement grew in the late 19</w:t>
            </w:r>
            <w:r w:rsidRPr="00947295">
              <w:rPr>
                <w:szCs w:val="20"/>
                <w:vertAlign w:val="superscript"/>
              </w:rPr>
              <w:t>th</w:t>
            </w:r>
            <w:r>
              <w:rPr>
                <w:szCs w:val="20"/>
              </w:rPr>
              <w:t xml:space="preserve"> and early 20</w:t>
            </w:r>
            <w:r w:rsidRPr="00947295">
              <w:rPr>
                <w:szCs w:val="20"/>
                <w:vertAlign w:val="superscript"/>
              </w:rPr>
              <w:t>th</w:t>
            </w:r>
            <w:r>
              <w:rPr>
                <w:szCs w:val="20"/>
              </w:rPr>
              <w:t xml:space="preserve"> century.  At the same time, a movement for Pakistan to form its own country also grew.  Gandhi led the Indian National Congress, a nationalist group, leading nonviolent demonstrations.  Demands for </w:t>
            </w:r>
            <w:r w:rsidR="005161F8">
              <w:rPr>
                <w:szCs w:val="20"/>
              </w:rPr>
              <w:t>independence</w:t>
            </w:r>
            <w:r>
              <w:rPr>
                <w:szCs w:val="20"/>
              </w:rPr>
              <w:t xml:space="preserve"> grew in the 1940s.  In 1947, plans were drawn up to hand power over.  After first trying to keep India as one country, a partition plan was drawn up hurriedly.  Two large states, Punjab and Bengal, were split in half</w:t>
            </w:r>
            <w:r w:rsidR="00A62803">
              <w:rPr>
                <w:szCs w:val="20"/>
              </w:rPr>
              <w:t xml:space="preserve">.  Many people found themselves on the “wrong” side of the border, and millions of people moved, with hundreds of thousands killed in the chaos and violence as Muslims moved to Pakistan and Sikhs and Hindus to India. </w:t>
            </w:r>
            <w:r>
              <w:rPr>
                <w:szCs w:val="20"/>
              </w:rPr>
              <w:t xml:space="preserve"> </w:t>
            </w:r>
          </w:p>
        </w:tc>
      </w:tr>
      <w:tr w:rsidR="009B3737" w:rsidRPr="002E3559" w14:paraId="280ED07C" w14:textId="77777777" w:rsidTr="00A92098">
        <w:tc>
          <w:tcPr>
            <w:tcW w:w="551" w:type="dxa"/>
          </w:tcPr>
          <w:p w14:paraId="7C50237F" w14:textId="77777777" w:rsidR="009B3737" w:rsidRPr="002E3559" w:rsidRDefault="009B3737" w:rsidP="00A92098">
            <w:pPr>
              <w:rPr>
                <w:szCs w:val="20"/>
              </w:rPr>
            </w:pPr>
            <w:r w:rsidRPr="002E3559">
              <w:rPr>
                <w:szCs w:val="20"/>
              </w:rPr>
              <w:t>3</w:t>
            </w:r>
          </w:p>
        </w:tc>
        <w:tc>
          <w:tcPr>
            <w:tcW w:w="1441" w:type="dxa"/>
          </w:tcPr>
          <w:p w14:paraId="296EB0A8" w14:textId="1E0BC457" w:rsidR="009B3737" w:rsidRPr="002E3559" w:rsidRDefault="00A62803" w:rsidP="00A92098">
            <w:pPr>
              <w:rPr>
                <w:szCs w:val="20"/>
              </w:rPr>
            </w:pPr>
            <w:r>
              <w:rPr>
                <w:szCs w:val="20"/>
              </w:rPr>
              <w:t>Independence in Ghana</w:t>
            </w:r>
          </w:p>
        </w:tc>
        <w:tc>
          <w:tcPr>
            <w:tcW w:w="5343" w:type="dxa"/>
          </w:tcPr>
          <w:p w14:paraId="167BD7B4" w14:textId="2611E250" w:rsidR="009B3737" w:rsidRPr="002E3559" w:rsidRDefault="005161F8" w:rsidP="00A92098">
            <w:pPr>
              <w:rPr>
                <w:szCs w:val="20"/>
              </w:rPr>
            </w:pPr>
            <w:r>
              <w:rPr>
                <w:szCs w:val="20"/>
              </w:rPr>
              <w:t xml:space="preserve">Kwame Nkrumah became a leader in the Ghanaian independence movement in the 1940s.  He led nonviolent protests, but was put in prison.  From prison, his political party won an election.  After this, the British government released him and started working with him on a plan to hand over power.  Ghana gained independence in 1957. </w:t>
            </w:r>
          </w:p>
        </w:tc>
      </w:tr>
    </w:tbl>
    <w:p w14:paraId="1E7DFE4E" w14:textId="6291BF2A" w:rsidR="00612EEA" w:rsidRDefault="00612EEA"/>
    <w:tbl>
      <w:tblPr>
        <w:tblStyle w:val="TableGrid"/>
        <w:tblW w:w="0" w:type="auto"/>
        <w:tblLook w:val="04A0" w:firstRow="1" w:lastRow="0" w:firstColumn="1" w:lastColumn="0" w:noHBand="0" w:noVBand="1"/>
      </w:tblPr>
      <w:tblGrid>
        <w:gridCol w:w="551"/>
        <w:gridCol w:w="1441"/>
        <w:gridCol w:w="5343"/>
      </w:tblGrid>
      <w:tr w:rsidR="009B3737" w:rsidRPr="002E3559" w14:paraId="7BD08C5F" w14:textId="77777777" w:rsidTr="00A92098">
        <w:tc>
          <w:tcPr>
            <w:tcW w:w="551" w:type="dxa"/>
          </w:tcPr>
          <w:p w14:paraId="5B60F272" w14:textId="640492BB" w:rsidR="009B3737" w:rsidRPr="002E3559" w:rsidRDefault="009B3737" w:rsidP="00A92098">
            <w:pPr>
              <w:rPr>
                <w:szCs w:val="20"/>
              </w:rPr>
            </w:pPr>
            <w:r w:rsidRPr="002E3559">
              <w:rPr>
                <w:szCs w:val="20"/>
              </w:rPr>
              <w:t>4</w:t>
            </w:r>
          </w:p>
        </w:tc>
        <w:tc>
          <w:tcPr>
            <w:tcW w:w="1441" w:type="dxa"/>
          </w:tcPr>
          <w:p w14:paraId="3141F19B" w14:textId="4B617515" w:rsidR="009B3737" w:rsidRPr="002E3559" w:rsidRDefault="005161F8" w:rsidP="00A92098">
            <w:pPr>
              <w:rPr>
                <w:szCs w:val="20"/>
              </w:rPr>
            </w:pPr>
            <w:r>
              <w:rPr>
                <w:szCs w:val="20"/>
              </w:rPr>
              <w:t>Ronald Hyam</w:t>
            </w:r>
          </w:p>
        </w:tc>
        <w:tc>
          <w:tcPr>
            <w:tcW w:w="5343" w:type="dxa"/>
          </w:tcPr>
          <w:p w14:paraId="49DE9A41" w14:textId="7D1A72B4" w:rsidR="009B3737" w:rsidRPr="002E3559" w:rsidRDefault="005161F8" w:rsidP="00A92098">
            <w:pPr>
              <w:rPr>
                <w:szCs w:val="20"/>
              </w:rPr>
            </w:pPr>
            <w:r>
              <w:rPr>
                <w:szCs w:val="20"/>
              </w:rPr>
              <w:t xml:space="preserve">Hyam is an archival historian, meaning that most of his sources are written documents – often official ones, or ones written by powerful people such as prime ministers who make the decisions.  He argues that the most important factor in explaining the decolonisation was the decisions of the governments, taken because of international pressure (e.g. from the USA) and out of a desire for Britain to find a new place in the world. </w:t>
            </w:r>
            <w:r w:rsidR="00612EEA">
              <w:rPr>
                <w:szCs w:val="20"/>
              </w:rPr>
              <w:t xml:space="preserve"> Hyam’s perspective is a bit broader than the original ‘Cambridge School’, which used mostly British government archives, but his work builds on the ‘Cambridge School’. </w:t>
            </w:r>
          </w:p>
        </w:tc>
      </w:tr>
      <w:tr w:rsidR="009B3737" w:rsidRPr="002E3559" w14:paraId="56296BAE" w14:textId="77777777" w:rsidTr="00A92098">
        <w:tc>
          <w:tcPr>
            <w:tcW w:w="551" w:type="dxa"/>
          </w:tcPr>
          <w:p w14:paraId="0AA613C6" w14:textId="77777777" w:rsidR="009B3737" w:rsidRPr="002E3559" w:rsidRDefault="009B3737" w:rsidP="00A92098">
            <w:pPr>
              <w:rPr>
                <w:szCs w:val="20"/>
              </w:rPr>
            </w:pPr>
            <w:r w:rsidRPr="002E3559">
              <w:rPr>
                <w:szCs w:val="20"/>
              </w:rPr>
              <w:t>5</w:t>
            </w:r>
          </w:p>
        </w:tc>
        <w:tc>
          <w:tcPr>
            <w:tcW w:w="1441" w:type="dxa"/>
          </w:tcPr>
          <w:p w14:paraId="20513EC4" w14:textId="184B7C1E" w:rsidR="009B3737" w:rsidRPr="002E3559" w:rsidRDefault="005161F8" w:rsidP="00A92098">
            <w:pPr>
              <w:rPr>
                <w:szCs w:val="20"/>
              </w:rPr>
            </w:pPr>
            <w:r>
              <w:rPr>
                <w:szCs w:val="20"/>
              </w:rPr>
              <w:t>Antoinette Burton</w:t>
            </w:r>
          </w:p>
        </w:tc>
        <w:tc>
          <w:tcPr>
            <w:tcW w:w="5343" w:type="dxa"/>
          </w:tcPr>
          <w:p w14:paraId="67E1A2A4" w14:textId="37D43BBD" w:rsidR="009B3737" w:rsidRPr="005161F8" w:rsidRDefault="005161F8" w:rsidP="00A92098">
            <w:pPr>
              <w:rPr>
                <w:szCs w:val="20"/>
              </w:rPr>
            </w:pPr>
            <w:r>
              <w:rPr>
                <w:szCs w:val="20"/>
              </w:rPr>
              <w:t xml:space="preserve">Burton’s approach is less archival than Hyam’s; more of her sources come from Indigenous perspectives.  She also focuses more on India than any other colony.  She argues that rebellion by Indigenous people was the most important factor, and in fact argues that rebellion </w:t>
            </w:r>
            <w:r>
              <w:rPr>
                <w:i/>
                <w:iCs/>
                <w:szCs w:val="20"/>
              </w:rPr>
              <w:t>against</w:t>
            </w:r>
            <w:r>
              <w:rPr>
                <w:szCs w:val="20"/>
              </w:rPr>
              <w:t xml:space="preserve"> empire was the most defining feature </w:t>
            </w:r>
            <w:r>
              <w:rPr>
                <w:i/>
                <w:iCs/>
                <w:szCs w:val="20"/>
              </w:rPr>
              <w:t>of</w:t>
            </w:r>
            <w:r>
              <w:rPr>
                <w:szCs w:val="20"/>
              </w:rPr>
              <w:t xml:space="preserve"> the British Empire throughout its existence. </w:t>
            </w:r>
            <w:r w:rsidR="00612EEA">
              <w:rPr>
                <w:szCs w:val="20"/>
              </w:rPr>
              <w:t xml:space="preserve"> Burton is one of the historians who are sometimes referred to as writing ‘new imperial history’.</w:t>
            </w:r>
          </w:p>
        </w:tc>
      </w:tr>
      <w:tr w:rsidR="009B3737" w:rsidRPr="002E3559" w14:paraId="46BAD8A6" w14:textId="77777777" w:rsidTr="00A92098">
        <w:tc>
          <w:tcPr>
            <w:tcW w:w="551" w:type="dxa"/>
          </w:tcPr>
          <w:p w14:paraId="0E14E6F4" w14:textId="77777777" w:rsidR="009B3737" w:rsidRPr="002E3559" w:rsidRDefault="009B3737" w:rsidP="00A92098">
            <w:pPr>
              <w:rPr>
                <w:szCs w:val="20"/>
              </w:rPr>
            </w:pPr>
            <w:r w:rsidRPr="002E3559">
              <w:rPr>
                <w:szCs w:val="20"/>
              </w:rPr>
              <w:t>6</w:t>
            </w:r>
          </w:p>
        </w:tc>
        <w:tc>
          <w:tcPr>
            <w:tcW w:w="1441" w:type="dxa"/>
          </w:tcPr>
          <w:p w14:paraId="52ECD1F7" w14:textId="11D162A0" w:rsidR="009B3737" w:rsidRPr="002E3559" w:rsidRDefault="00612EEA" w:rsidP="00A92098">
            <w:pPr>
              <w:rPr>
                <w:szCs w:val="20"/>
              </w:rPr>
            </w:pPr>
            <w:r>
              <w:rPr>
                <w:szCs w:val="20"/>
              </w:rPr>
              <w:t>Writing history</w:t>
            </w:r>
          </w:p>
        </w:tc>
        <w:tc>
          <w:tcPr>
            <w:tcW w:w="5343" w:type="dxa"/>
          </w:tcPr>
          <w:p w14:paraId="623FDAD4" w14:textId="2EDE6F9C" w:rsidR="009B3737" w:rsidRPr="002E3559" w:rsidRDefault="00612EEA" w:rsidP="00A92098">
            <w:pPr>
              <w:rPr>
                <w:szCs w:val="20"/>
              </w:rPr>
            </w:pPr>
            <w:r>
              <w:rPr>
                <w:szCs w:val="20"/>
              </w:rPr>
              <w:t xml:space="preserve">Historians often come to different conclusions about how important different factors were.  This might be because they approach a subject differently, focus on different geographical areas or time periods, look at different types of sources or ask different questions when looking for information. </w:t>
            </w:r>
          </w:p>
        </w:tc>
      </w:tr>
    </w:tbl>
    <w:p w14:paraId="1B6E9CCF" w14:textId="77777777" w:rsidR="009B3737" w:rsidRDefault="009B3737" w:rsidP="009B3737">
      <w:pPr>
        <w:sectPr w:rsidR="009B3737" w:rsidSect="004D41FA">
          <w:type w:val="continuous"/>
          <w:pgSz w:w="16838" w:h="11906" w:orient="landscape"/>
          <w:pgMar w:top="720" w:right="720" w:bottom="720" w:left="720" w:header="708" w:footer="708" w:gutter="0"/>
          <w:cols w:num="2" w:space="708"/>
          <w:docGrid w:linePitch="360"/>
        </w:sectPr>
      </w:pPr>
    </w:p>
    <w:p w14:paraId="4362DBB2" w14:textId="77777777" w:rsidR="009B3737" w:rsidRDefault="009B3737">
      <w:r>
        <w:br w:type="page"/>
      </w:r>
    </w:p>
    <w:tbl>
      <w:tblPr>
        <w:tblStyle w:val="TableGrid"/>
        <w:tblW w:w="0" w:type="auto"/>
        <w:tblLook w:val="04A0" w:firstRow="1" w:lastRow="0" w:firstColumn="1" w:lastColumn="0" w:noHBand="0" w:noVBand="1"/>
      </w:tblPr>
      <w:tblGrid>
        <w:gridCol w:w="1839"/>
        <w:gridCol w:w="8419"/>
        <w:gridCol w:w="5130"/>
      </w:tblGrid>
      <w:tr w:rsidR="009B3737" w:rsidRPr="00B51AF3" w14:paraId="4810DB04" w14:textId="77777777" w:rsidTr="00C517DD">
        <w:trPr>
          <w:trHeight w:val="510"/>
        </w:trPr>
        <w:tc>
          <w:tcPr>
            <w:tcW w:w="1839" w:type="dxa"/>
            <w:shd w:val="clear" w:color="auto" w:fill="D9D9D9" w:themeFill="background1" w:themeFillShade="D9"/>
          </w:tcPr>
          <w:p w14:paraId="7D827083" w14:textId="7AC3C4D3" w:rsidR="009B3737" w:rsidRPr="00B51AF3" w:rsidRDefault="009B3737" w:rsidP="00A92098">
            <w:r w:rsidRPr="00B51AF3">
              <w:lastRenderedPageBreak/>
              <w:t>Word</w:t>
            </w:r>
          </w:p>
        </w:tc>
        <w:tc>
          <w:tcPr>
            <w:tcW w:w="8419" w:type="dxa"/>
            <w:shd w:val="clear" w:color="auto" w:fill="D9D9D9" w:themeFill="background1" w:themeFillShade="D9"/>
          </w:tcPr>
          <w:p w14:paraId="10233E17" w14:textId="77777777" w:rsidR="009B3737" w:rsidRPr="00B51AF3" w:rsidRDefault="009B3737" w:rsidP="00A92098">
            <w:r w:rsidRPr="00B51AF3">
              <w:t>Definition</w:t>
            </w:r>
          </w:p>
        </w:tc>
        <w:tc>
          <w:tcPr>
            <w:tcW w:w="5130" w:type="dxa"/>
            <w:shd w:val="clear" w:color="auto" w:fill="D9D9D9" w:themeFill="background1" w:themeFillShade="D9"/>
          </w:tcPr>
          <w:p w14:paraId="3311AC6F" w14:textId="77777777" w:rsidR="009B3737" w:rsidRPr="00B51AF3" w:rsidRDefault="009B3737" w:rsidP="00A92098">
            <w:r w:rsidRPr="00B51AF3">
              <w:t xml:space="preserve">In a sentence </w:t>
            </w:r>
          </w:p>
        </w:tc>
      </w:tr>
      <w:tr w:rsidR="009B3737" w:rsidRPr="00B51AF3" w14:paraId="41E08C73" w14:textId="77777777" w:rsidTr="00C517DD">
        <w:trPr>
          <w:trHeight w:val="737"/>
        </w:trPr>
        <w:tc>
          <w:tcPr>
            <w:tcW w:w="1839" w:type="dxa"/>
            <w:vAlign w:val="center"/>
          </w:tcPr>
          <w:p w14:paraId="49AF073D" w14:textId="03D979EC" w:rsidR="009B3737" w:rsidRPr="00612EEA" w:rsidRDefault="00612EEA" w:rsidP="00A92098">
            <w:pPr>
              <w:rPr>
                <w:b/>
                <w:bCs/>
              </w:rPr>
            </w:pPr>
            <w:r w:rsidRPr="00C517DD">
              <w:rPr>
                <w:b/>
                <w:bCs/>
                <w:sz w:val="24"/>
                <w:szCs w:val="24"/>
              </w:rPr>
              <w:t>d</w:t>
            </w:r>
            <w:r w:rsidR="00D916AC" w:rsidRPr="00C517DD">
              <w:rPr>
                <w:b/>
                <w:bCs/>
                <w:sz w:val="24"/>
                <w:szCs w:val="24"/>
              </w:rPr>
              <w:t>ecolonisation</w:t>
            </w:r>
          </w:p>
        </w:tc>
        <w:tc>
          <w:tcPr>
            <w:tcW w:w="8419" w:type="dxa"/>
            <w:vAlign w:val="center"/>
          </w:tcPr>
          <w:p w14:paraId="6996F50B" w14:textId="77777777" w:rsidR="009B3737" w:rsidRDefault="00D916AC" w:rsidP="00A92098">
            <w:r>
              <w:rPr>
                <w:i/>
                <w:iCs/>
              </w:rPr>
              <w:t>Political definition:</w:t>
            </w:r>
            <w:r>
              <w:t xml:space="preserve"> the process of a colony or colonies becoming independent from an empire. </w:t>
            </w:r>
          </w:p>
          <w:p w14:paraId="5AB58062" w14:textId="76C9AAC6" w:rsidR="00D916AC" w:rsidRPr="00D916AC" w:rsidRDefault="00D916AC" w:rsidP="00A92098">
            <w:r>
              <w:rPr>
                <w:i/>
                <w:iCs/>
              </w:rPr>
              <w:t xml:space="preserve">Social and cultural definition: </w:t>
            </w:r>
            <w:r>
              <w:t xml:space="preserve">removing the legacy of empire from the way people </w:t>
            </w:r>
            <w:r w:rsidR="00947295">
              <w:t xml:space="preserve">think about themselves and the types of knowledge that society rewards </w:t>
            </w:r>
          </w:p>
        </w:tc>
        <w:tc>
          <w:tcPr>
            <w:tcW w:w="5130" w:type="dxa"/>
            <w:vAlign w:val="center"/>
          </w:tcPr>
          <w:p w14:paraId="3C539B69" w14:textId="77777777" w:rsidR="009B3737" w:rsidRDefault="00947295" w:rsidP="00A92098">
            <w:r>
              <w:t>The British Empire decolonised in the 1940s to 1980s. (political definition)</w:t>
            </w:r>
          </w:p>
          <w:p w14:paraId="000B058C" w14:textId="39791AA6" w:rsidR="00947295" w:rsidRPr="00B51AF3" w:rsidRDefault="00947295" w:rsidP="00A92098">
            <w:r>
              <w:t>The campaigners were arguing for the decolonisation of the curriculum. (social and cultural definition)</w:t>
            </w:r>
          </w:p>
        </w:tc>
      </w:tr>
      <w:tr w:rsidR="009B3737" w:rsidRPr="00B51AF3" w14:paraId="4F9A5F95" w14:textId="77777777" w:rsidTr="00C517DD">
        <w:trPr>
          <w:trHeight w:val="737"/>
        </w:trPr>
        <w:tc>
          <w:tcPr>
            <w:tcW w:w="1839" w:type="dxa"/>
            <w:vAlign w:val="center"/>
          </w:tcPr>
          <w:p w14:paraId="5E78E148" w14:textId="2BBDCEB4" w:rsidR="009B3737" w:rsidRPr="00B51AF3" w:rsidRDefault="00612EEA" w:rsidP="00A92098">
            <w:pPr>
              <w:rPr>
                <w:b/>
                <w:bCs/>
                <w:sz w:val="24"/>
                <w:szCs w:val="24"/>
              </w:rPr>
            </w:pPr>
            <w:r>
              <w:rPr>
                <w:b/>
                <w:bCs/>
                <w:sz w:val="24"/>
                <w:szCs w:val="24"/>
              </w:rPr>
              <w:t>archive</w:t>
            </w:r>
          </w:p>
        </w:tc>
        <w:tc>
          <w:tcPr>
            <w:tcW w:w="8419" w:type="dxa"/>
            <w:vAlign w:val="center"/>
          </w:tcPr>
          <w:p w14:paraId="5E6775E6" w14:textId="7E3231AB" w:rsidR="009B3737" w:rsidRPr="00B51AF3" w:rsidRDefault="00612EEA" w:rsidP="00A92098">
            <w:pPr>
              <w:rPr>
                <w:sz w:val="22"/>
                <w:szCs w:val="22"/>
              </w:rPr>
            </w:pPr>
            <w:r>
              <w:rPr>
                <w:sz w:val="22"/>
                <w:szCs w:val="22"/>
              </w:rPr>
              <w:t xml:space="preserve">A collection of documents which show the history of a place, group or institution. </w:t>
            </w:r>
          </w:p>
        </w:tc>
        <w:tc>
          <w:tcPr>
            <w:tcW w:w="5130" w:type="dxa"/>
            <w:vAlign w:val="center"/>
          </w:tcPr>
          <w:p w14:paraId="22D126F5" w14:textId="77777777" w:rsidR="009B3737" w:rsidRDefault="00612EEA" w:rsidP="00A92098">
            <w:r>
              <w:t xml:space="preserve">The National Archives is the official archive of the British government. </w:t>
            </w:r>
          </w:p>
          <w:p w14:paraId="4222E43A" w14:textId="3D0078F4" w:rsidR="00C517DD" w:rsidRPr="00B51AF3" w:rsidRDefault="00C517DD" w:rsidP="00A92098">
            <w:r>
              <w:t xml:space="preserve">Ronald Hyam is an archival historian. </w:t>
            </w:r>
          </w:p>
        </w:tc>
      </w:tr>
      <w:tr w:rsidR="009B3737" w:rsidRPr="00B51AF3" w14:paraId="1ED8DBFC" w14:textId="77777777" w:rsidTr="00C517DD">
        <w:trPr>
          <w:trHeight w:val="737"/>
        </w:trPr>
        <w:tc>
          <w:tcPr>
            <w:tcW w:w="1839" w:type="dxa"/>
            <w:vAlign w:val="center"/>
          </w:tcPr>
          <w:p w14:paraId="7051C126" w14:textId="13A9C007" w:rsidR="009B3737" w:rsidRPr="00B51AF3" w:rsidRDefault="00612EEA" w:rsidP="00A92098">
            <w:pPr>
              <w:rPr>
                <w:b/>
                <w:bCs/>
                <w:sz w:val="24"/>
                <w:szCs w:val="24"/>
              </w:rPr>
            </w:pPr>
            <w:r>
              <w:rPr>
                <w:b/>
                <w:bCs/>
                <w:sz w:val="24"/>
                <w:szCs w:val="24"/>
              </w:rPr>
              <w:t>independence</w:t>
            </w:r>
          </w:p>
        </w:tc>
        <w:tc>
          <w:tcPr>
            <w:tcW w:w="8419" w:type="dxa"/>
            <w:vAlign w:val="center"/>
          </w:tcPr>
          <w:p w14:paraId="0B6BCFD6" w14:textId="0BC4F4E5" w:rsidR="009B3737" w:rsidRPr="00B51AF3" w:rsidRDefault="00612EEA" w:rsidP="00A92098">
            <w:pPr>
              <w:rPr>
                <w:sz w:val="22"/>
                <w:szCs w:val="22"/>
              </w:rPr>
            </w:pPr>
            <w:r>
              <w:rPr>
                <w:sz w:val="22"/>
                <w:szCs w:val="22"/>
              </w:rPr>
              <w:t xml:space="preserve">When a territory (country or area) </w:t>
            </w:r>
            <w:r w:rsidR="00C517DD">
              <w:rPr>
                <w:sz w:val="22"/>
                <w:szCs w:val="22"/>
              </w:rPr>
              <w:t xml:space="preserve">stops being run by an empire (or bigger country) and runs itself. </w:t>
            </w:r>
          </w:p>
        </w:tc>
        <w:tc>
          <w:tcPr>
            <w:tcW w:w="5130" w:type="dxa"/>
            <w:vAlign w:val="center"/>
          </w:tcPr>
          <w:p w14:paraId="4210F020" w14:textId="143D8365" w:rsidR="009B3737" w:rsidRPr="00B51AF3" w:rsidRDefault="00C517DD" w:rsidP="00A92098">
            <w:r>
              <w:t xml:space="preserve">Ghana achieved independence in 1957. </w:t>
            </w:r>
          </w:p>
        </w:tc>
      </w:tr>
      <w:tr w:rsidR="009B3737" w:rsidRPr="00B51AF3" w14:paraId="6046B274" w14:textId="77777777" w:rsidTr="00C517DD">
        <w:trPr>
          <w:trHeight w:val="737"/>
        </w:trPr>
        <w:tc>
          <w:tcPr>
            <w:tcW w:w="1839" w:type="dxa"/>
            <w:vAlign w:val="center"/>
          </w:tcPr>
          <w:p w14:paraId="007C1CA8" w14:textId="0F6496C9" w:rsidR="009B3737" w:rsidRPr="00B51AF3" w:rsidRDefault="00C517DD" w:rsidP="00A92098">
            <w:pPr>
              <w:rPr>
                <w:b/>
                <w:bCs/>
                <w:sz w:val="24"/>
                <w:szCs w:val="24"/>
              </w:rPr>
            </w:pPr>
            <w:r>
              <w:rPr>
                <w:b/>
                <w:bCs/>
                <w:sz w:val="24"/>
                <w:szCs w:val="24"/>
              </w:rPr>
              <w:t xml:space="preserve">school of thought </w:t>
            </w:r>
          </w:p>
        </w:tc>
        <w:tc>
          <w:tcPr>
            <w:tcW w:w="8419" w:type="dxa"/>
            <w:vAlign w:val="center"/>
          </w:tcPr>
          <w:p w14:paraId="3463FECC" w14:textId="21390972" w:rsidR="00C517DD" w:rsidRPr="00B51AF3" w:rsidRDefault="00C517DD" w:rsidP="00A92098">
            <w:pPr>
              <w:rPr>
                <w:sz w:val="22"/>
                <w:szCs w:val="22"/>
              </w:rPr>
            </w:pPr>
            <w:r>
              <w:rPr>
                <w:sz w:val="22"/>
                <w:szCs w:val="22"/>
              </w:rPr>
              <w:t>The perspective of a group of people who share an opinion or way of thinking about history (or society, culture, etc.).</w:t>
            </w:r>
          </w:p>
        </w:tc>
        <w:tc>
          <w:tcPr>
            <w:tcW w:w="5130" w:type="dxa"/>
            <w:vAlign w:val="center"/>
          </w:tcPr>
          <w:p w14:paraId="7B32A090" w14:textId="008BA258" w:rsidR="009B3737" w:rsidRPr="00B51AF3" w:rsidRDefault="00C517DD" w:rsidP="00A92098">
            <w:r>
              <w:t xml:space="preserve">The Cambridge School was one of the earliest schools of thought that explained the process of decolonisation. </w:t>
            </w:r>
          </w:p>
        </w:tc>
      </w:tr>
    </w:tbl>
    <w:p w14:paraId="3C87F442" w14:textId="77777777" w:rsidR="009B3737" w:rsidRDefault="009B3737" w:rsidP="009B3737"/>
    <w:p w14:paraId="46B26E07" w14:textId="77777777" w:rsidR="009B3737" w:rsidRDefault="009B3737" w:rsidP="009B3737"/>
    <w:p w14:paraId="4633EB84" w14:textId="77777777" w:rsidR="009B3737" w:rsidRDefault="009B3737" w:rsidP="009B3737"/>
    <w:p w14:paraId="50DF1326" w14:textId="77777777" w:rsidR="009B3737" w:rsidRDefault="009B3737" w:rsidP="009B3737"/>
    <w:p w14:paraId="18EE7DBC" w14:textId="77777777" w:rsidR="009B3737" w:rsidRDefault="009B3737" w:rsidP="009B3737"/>
    <w:p w14:paraId="105A627A" w14:textId="77777777" w:rsidR="009B3737" w:rsidRDefault="009B3737" w:rsidP="009B3737"/>
    <w:p w14:paraId="7680993D" w14:textId="77777777" w:rsidR="009B3737" w:rsidRDefault="009B3737" w:rsidP="009B3737">
      <w:pPr>
        <w:sectPr w:rsidR="009B3737" w:rsidSect="00AE6DCA">
          <w:type w:val="continuous"/>
          <w:pgSz w:w="16838" w:h="11906" w:orient="landscape"/>
          <w:pgMar w:top="720" w:right="720" w:bottom="720" w:left="720" w:header="708" w:footer="708" w:gutter="0"/>
          <w:cols w:space="708"/>
          <w:docGrid w:linePitch="360"/>
        </w:sectPr>
      </w:pPr>
    </w:p>
    <w:p w14:paraId="6D894396" w14:textId="77777777" w:rsidR="001C5BF6" w:rsidRDefault="001C5BF6"/>
    <w:sectPr w:rsidR="001C5BF6" w:rsidSect="00AE6DCA">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C893" w14:textId="77777777" w:rsidR="009B3737" w:rsidRDefault="009B3737" w:rsidP="009B3737">
      <w:pPr>
        <w:spacing w:after="0" w:line="240" w:lineRule="auto"/>
      </w:pPr>
      <w:r>
        <w:separator/>
      </w:r>
    </w:p>
  </w:endnote>
  <w:endnote w:type="continuationSeparator" w:id="0">
    <w:p w14:paraId="13D2D81E" w14:textId="77777777" w:rsidR="009B3737" w:rsidRDefault="009B3737" w:rsidP="009B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263C" w14:textId="77777777" w:rsidR="009B3737" w:rsidRDefault="009B3737" w:rsidP="009B3737">
      <w:pPr>
        <w:spacing w:after="0" w:line="240" w:lineRule="auto"/>
      </w:pPr>
      <w:r>
        <w:separator/>
      </w:r>
    </w:p>
  </w:footnote>
  <w:footnote w:type="continuationSeparator" w:id="0">
    <w:p w14:paraId="0A1EC13A" w14:textId="77777777" w:rsidR="009B3737" w:rsidRDefault="009B3737" w:rsidP="009B3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7890" w14:textId="56F2935C" w:rsidR="00D97A0F" w:rsidRDefault="00C517DD">
    <w:pPr>
      <w:pStyle w:val="Header"/>
    </w:pPr>
    <w:r>
      <w:t xml:space="preserve">Knowledge Organiser – Year </w:t>
    </w:r>
    <w:r w:rsidR="00905DF2">
      <w:t xml:space="preserve">9 – Why have Hyam and Burton written decolonisation differently? </w:t>
    </w:r>
    <w:r w:rsidR="009B373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105ABC"/>
    <w:lvl w:ilvl="0">
      <w:start w:val="1"/>
      <w:numFmt w:val="bullet"/>
      <w:pStyle w:val="ListBullet"/>
      <w:lvlText w:val=""/>
      <w:lvlJc w:val="left"/>
      <w:pPr>
        <w:tabs>
          <w:tab w:val="num" w:pos="360"/>
        </w:tabs>
        <w:ind w:left="360" w:hanging="360"/>
      </w:pPr>
      <w:rPr>
        <w:rFonts w:ascii="Symbol" w:hAnsi="Symbol" w:hint="default"/>
      </w:rPr>
    </w:lvl>
  </w:abstractNum>
  <w:num w:numId="1" w16cid:durableId="671839157">
    <w:abstractNumId w:val="0"/>
  </w:num>
  <w:num w:numId="2" w16cid:durableId="430323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37"/>
    <w:rsid w:val="001C5BF6"/>
    <w:rsid w:val="005161F8"/>
    <w:rsid w:val="00587605"/>
    <w:rsid w:val="00612EEA"/>
    <w:rsid w:val="00712C73"/>
    <w:rsid w:val="007C5E92"/>
    <w:rsid w:val="00905DF2"/>
    <w:rsid w:val="00947295"/>
    <w:rsid w:val="009B3737"/>
    <w:rsid w:val="00A62803"/>
    <w:rsid w:val="00AA3AC0"/>
    <w:rsid w:val="00AC362A"/>
    <w:rsid w:val="00C517DD"/>
    <w:rsid w:val="00D916AC"/>
    <w:rsid w:val="00E86D27"/>
    <w:rsid w:val="00FC2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460E"/>
  <w15:chartTrackingRefBased/>
  <w15:docId w15:val="{933594BC-0E87-4910-82CA-11BB0C76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737"/>
    <w:rPr>
      <w:sz w:val="20"/>
    </w:rPr>
  </w:style>
  <w:style w:type="paragraph" w:styleId="Heading1">
    <w:name w:val="heading 1"/>
    <w:basedOn w:val="Normal"/>
    <w:next w:val="Normal"/>
    <w:link w:val="Heading1Char"/>
    <w:uiPriority w:val="9"/>
    <w:qFormat/>
    <w:rsid w:val="00FC296D"/>
    <w:pPr>
      <w:keepNext/>
      <w:keepLines/>
      <w:spacing w:before="320" w:after="80" w:line="240" w:lineRule="auto"/>
      <w:outlineLvl w:val="0"/>
    </w:pPr>
    <w:rPr>
      <w:rFonts w:asciiTheme="majorHAnsi" w:eastAsiaTheme="majorEastAsia" w:hAnsiTheme="majorHAnsi" w:cstheme="majorBidi"/>
      <w:color w:val="101835" w:themeColor="accent1" w:themeShade="40"/>
      <w:sz w:val="40"/>
      <w:szCs w:val="40"/>
    </w:rPr>
  </w:style>
  <w:style w:type="paragraph" w:styleId="Heading2">
    <w:name w:val="heading 2"/>
    <w:basedOn w:val="Normal"/>
    <w:next w:val="Normal"/>
    <w:link w:val="Heading2Char"/>
    <w:uiPriority w:val="9"/>
    <w:unhideWhenUsed/>
    <w:qFormat/>
    <w:rsid w:val="00FC296D"/>
    <w:pPr>
      <w:keepNext/>
      <w:keepLines/>
      <w:spacing w:before="160" w:after="40" w:line="240" w:lineRule="auto"/>
      <w:outlineLvl w:val="1"/>
    </w:pPr>
    <w:rPr>
      <w:rFonts w:asciiTheme="majorHAnsi" w:eastAsiaTheme="majorEastAsia" w:hAnsiTheme="majorHAnsi" w:cstheme="majorBidi"/>
      <w:i/>
      <w:sz w:val="28"/>
      <w:szCs w:val="32"/>
    </w:rPr>
  </w:style>
  <w:style w:type="paragraph" w:styleId="Heading3">
    <w:name w:val="heading 3"/>
    <w:basedOn w:val="Normal"/>
    <w:next w:val="Normal"/>
    <w:link w:val="Heading3Char"/>
    <w:uiPriority w:val="9"/>
    <w:unhideWhenUsed/>
    <w:qFormat/>
    <w:rsid w:val="00FC296D"/>
    <w:pPr>
      <w:keepNext/>
      <w:keepLines/>
      <w:spacing w:before="160" w:after="120" w:line="240" w:lineRule="auto"/>
      <w:outlineLvl w:val="2"/>
    </w:pPr>
    <w:rPr>
      <w:rFonts w:asciiTheme="majorHAnsi" w:eastAsiaTheme="majorEastAsia" w:hAnsiTheme="majorHAnsi" w:cstheme="majorBidi"/>
      <w:sz w:val="28"/>
      <w:szCs w:val="32"/>
    </w:rPr>
  </w:style>
  <w:style w:type="paragraph" w:styleId="Heading4">
    <w:name w:val="heading 4"/>
    <w:basedOn w:val="Normal"/>
    <w:next w:val="Normal"/>
    <w:link w:val="Heading4Char"/>
    <w:uiPriority w:val="9"/>
    <w:unhideWhenUsed/>
    <w:qFormat/>
    <w:rsid w:val="00FC296D"/>
    <w:pPr>
      <w:keepNext/>
      <w:keepLines/>
      <w:spacing w:before="80" w:after="120"/>
      <w:outlineLvl w:val="3"/>
    </w:pPr>
    <w:rPr>
      <w:rFonts w:asciiTheme="majorHAnsi" w:eastAsiaTheme="majorEastAsia" w:hAnsiTheme="majorHAnsi" w:cstheme="majorBidi"/>
      <w:i/>
      <w:iCs/>
      <w:sz w:val="28"/>
      <w:szCs w:val="30"/>
    </w:rPr>
  </w:style>
  <w:style w:type="paragraph" w:styleId="Heading5">
    <w:name w:val="heading 5"/>
    <w:basedOn w:val="Normal"/>
    <w:next w:val="Normal"/>
    <w:link w:val="Heading5Char"/>
    <w:uiPriority w:val="9"/>
    <w:unhideWhenUsed/>
    <w:qFormat/>
    <w:rsid w:val="00FC296D"/>
    <w:pPr>
      <w:keepNext/>
      <w:keepLines/>
      <w:spacing w:before="40" w:after="12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FC296D"/>
    <w:pPr>
      <w:keepNext/>
      <w:keepLines/>
      <w:spacing w:before="40" w:after="12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FC296D"/>
    <w:pPr>
      <w:keepNext/>
      <w:keepLines/>
      <w:spacing w:before="40" w:after="12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FC296D"/>
    <w:pPr>
      <w:keepNext/>
      <w:keepLines/>
      <w:spacing w:before="40" w:after="12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FC296D"/>
    <w:pPr>
      <w:keepNext/>
      <w:keepLines/>
      <w:spacing w:before="40" w:after="1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96D"/>
    <w:rPr>
      <w:rFonts w:asciiTheme="majorHAnsi" w:eastAsiaTheme="majorEastAsia" w:hAnsiTheme="majorHAnsi" w:cstheme="majorBidi"/>
      <w:color w:val="101835" w:themeColor="accent1" w:themeShade="40"/>
      <w:sz w:val="40"/>
      <w:szCs w:val="40"/>
    </w:rPr>
  </w:style>
  <w:style w:type="character" w:customStyle="1" w:styleId="Heading2Char">
    <w:name w:val="Heading 2 Char"/>
    <w:basedOn w:val="DefaultParagraphFont"/>
    <w:link w:val="Heading2"/>
    <w:uiPriority w:val="9"/>
    <w:rsid w:val="00FC296D"/>
    <w:rPr>
      <w:rFonts w:asciiTheme="majorHAnsi" w:eastAsiaTheme="majorEastAsia" w:hAnsiTheme="majorHAnsi" w:cstheme="majorBidi"/>
      <w:i/>
      <w:sz w:val="28"/>
      <w:szCs w:val="32"/>
    </w:rPr>
  </w:style>
  <w:style w:type="character" w:customStyle="1" w:styleId="Heading3Char">
    <w:name w:val="Heading 3 Char"/>
    <w:basedOn w:val="DefaultParagraphFont"/>
    <w:link w:val="Heading3"/>
    <w:uiPriority w:val="9"/>
    <w:rsid w:val="00FC296D"/>
    <w:rPr>
      <w:rFonts w:asciiTheme="majorHAnsi" w:eastAsiaTheme="majorEastAsia" w:hAnsiTheme="majorHAnsi" w:cstheme="majorBidi"/>
      <w:sz w:val="28"/>
      <w:szCs w:val="32"/>
    </w:rPr>
  </w:style>
  <w:style w:type="character" w:customStyle="1" w:styleId="Heading4Char">
    <w:name w:val="Heading 4 Char"/>
    <w:basedOn w:val="DefaultParagraphFont"/>
    <w:link w:val="Heading4"/>
    <w:uiPriority w:val="9"/>
    <w:rsid w:val="00FC296D"/>
    <w:rPr>
      <w:rFonts w:asciiTheme="majorHAnsi" w:eastAsiaTheme="majorEastAsia" w:hAnsiTheme="majorHAnsi" w:cstheme="majorBidi"/>
      <w:i/>
      <w:iCs/>
      <w:sz w:val="28"/>
      <w:szCs w:val="30"/>
    </w:rPr>
  </w:style>
  <w:style w:type="character" w:customStyle="1" w:styleId="Heading5Char">
    <w:name w:val="Heading 5 Char"/>
    <w:basedOn w:val="DefaultParagraphFont"/>
    <w:link w:val="Heading5"/>
    <w:uiPriority w:val="9"/>
    <w:rsid w:val="00FC296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FC296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FC296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FC296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FC296D"/>
    <w:rPr>
      <w:b/>
      <w:bCs/>
      <w:i/>
      <w:iCs/>
      <w:sz w:val="20"/>
    </w:rPr>
  </w:style>
  <w:style w:type="paragraph" w:styleId="Caption">
    <w:name w:val="caption"/>
    <w:basedOn w:val="Normal"/>
    <w:next w:val="Normal"/>
    <w:uiPriority w:val="35"/>
    <w:semiHidden/>
    <w:unhideWhenUsed/>
    <w:qFormat/>
    <w:rsid w:val="00FC296D"/>
    <w:pPr>
      <w:spacing w:before="120" w:after="120" w:line="240" w:lineRule="auto"/>
    </w:pPr>
    <w:rPr>
      <w:b/>
      <w:bCs/>
      <w:color w:val="404040" w:themeColor="text1" w:themeTint="BF"/>
      <w:sz w:val="16"/>
      <w:szCs w:val="16"/>
    </w:rPr>
  </w:style>
  <w:style w:type="paragraph" w:styleId="Title">
    <w:name w:val="Title"/>
    <w:basedOn w:val="Normal"/>
    <w:next w:val="Normal"/>
    <w:link w:val="TitleChar"/>
    <w:uiPriority w:val="10"/>
    <w:qFormat/>
    <w:rsid w:val="00FC296D"/>
    <w:pPr>
      <w:pBdr>
        <w:top w:val="single" w:sz="6" w:space="8" w:color="A7EA52" w:themeColor="accent3"/>
        <w:bottom w:val="single" w:sz="6" w:space="8" w:color="A7EA52" w:themeColor="accent3"/>
      </w:pBdr>
      <w:spacing w:before="120" w:after="400" w:line="240" w:lineRule="auto"/>
      <w:contextualSpacing/>
      <w:jc w:val="center"/>
    </w:pPr>
    <w:rPr>
      <w:rFonts w:asciiTheme="majorHAnsi" w:eastAsiaTheme="majorEastAsia" w:hAnsiTheme="majorHAnsi" w:cstheme="majorBidi"/>
      <w:caps/>
      <w:color w:val="212745" w:themeColor="text2"/>
      <w:spacing w:val="30"/>
      <w:sz w:val="72"/>
      <w:szCs w:val="72"/>
    </w:rPr>
  </w:style>
  <w:style w:type="character" w:customStyle="1" w:styleId="TitleChar">
    <w:name w:val="Title Char"/>
    <w:basedOn w:val="DefaultParagraphFont"/>
    <w:link w:val="Title"/>
    <w:uiPriority w:val="10"/>
    <w:rsid w:val="00FC296D"/>
    <w:rPr>
      <w:rFonts w:asciiTheme="majorHAnsi" w:eastAsiaTheme="majorEastAsia" w:hAnsiTheme="majorHAnsi" w:cstheme="majorBidi"/>
      <w:caps/>
      <w:color w:val="212745" w:themeColor="text2"/>
      <w:spacing w:val="30"/>
      <w:sz w:val="72"/>
      <w:szCs w:val="72"/>
    </w:rPr>
  </w:style>
  <w:style w:type="paragraph" w:styleId="Subtitle">
    <w:name w:val="Subtitle"/>
    <w:basedOn w:val="Normal"/>
    <w:next w:val="Normal"/>
    <w:link w:val="SubtitleChar"/>
    <w:uiPriority w:val="11"/>
    <w:qFormat/>
    <w:rsid w:val="00FC296D"/>
    <w:pPr>
      <w:numPr>
        <w:ilvl w:val="1"/>
      </w:numPr>
      <w:spacing w:before="120" w:after="120"/>
      <w:jc w:val="center"/>
    </w:pPr>
    <w:rPr>
      <w:color w:val="212745" w:themeColor="text2"/>
      <w:sz w:val="28"/>
      <w:szCs w:val="28"/>
    </w:rPr>
  </w:style>
  <w:style w:type="character" w:customStyle="1" w:styleId="SubtitleChar">
    <w:name w:val="Subtitle Char"/>
    <w:basedOn w:val="DefaultParagraphFont"/>
    <w:link w:val="Subtitle"/>
    <w:uiPriority w:val="11"/>
    <w:rsid w:val="00FC296D"/>
    <w:rPr>
      <w:color w:val="212745" w:themeColor="text2"/>
      <w:sz w:val="28"/>
      <w:szCs w:val="28"/>
    </w:rPr>
  </w:style>
  <w:style w:type="character" w:styleId="Strong">
    <w:name w:val="Strong"/>
    <w:basedOn w:val="DefaultParagraphFont"/>
    <w:uiPriority w:val="22"/>
    <w:qFormat/>
    <w:rsid w:val="00FC296D"/>
    <w:rPr>
      <w:b/>
      <w:bCs/>
    </w:rPr>
  </w:style>
  <w:style w:type="character" w:styleId="Emphasis">
    <w:name w:val="Emphasis"/>
    <w:basedOn w:val="DefaultParagraphFont"/>
    <w:uiPriority w:val="20"/>
    <w:qFormat/>
    <w:rsid w:val="00FC296D"/>
    <w:rPr>
      <w:i/>
      <w:iCs/>
      <w:color w:val="000000" w:themeColor="text1"/>
    </w:rPr>
  </w:style>
  <w:style w:type="paragraph" w:styleId="NoSpacing">
    <w:name w:val="No Spacing"/>
    <w:uiPriority w:val="1"/>
    <w:qFormat/>
    <w:rsid w:val="00FC296D"/>
    <w:pPr>
      <w:spacing w:after="0" w:line="240" w:lineRule="auto"/>
    </w:pPr>
    <w:rPr>
      <w:sz w:val="20"/>
    </w:rPr>
  </w:style>
  <w:style w:type="paragraph" w:styleId="Quote">
    <w:name w:val="Quote"/>
    <w:basedOn w:val="Normal"/>
    <w:next w:val="Normal"/>
    <w:link w:val="QuoteChar"/>
    <w:uiPriority w:val="29"/>
    <w:qFormat/>
    <w:rsid w:val="00FC296D"/>
    <w:pPr>
      <w:spacing w:before="160" w:after="120"/>
      <w:ind w:left="720" w:right="720"/>
      <w:jc w:val="center"/>
    </w:pPr>
    <w:rPr>
      <w:i/>
      <w:iCs/>
      <w:color w:val="808080" w:themeColor="background1" w:themeShade="80"/>
      <w:sz w:val="24"/>
      <w:szCs w:val="24"/>
    </w:rPr>
  </w:style>
  <w:style w:type="character" w:customStyle="1" w:styleId="QuoteChar">
    <w:name w:val="Quote Char"/>
    <w:basedOn w:val="DefaultParagraphFont"/>
    <w:link w:val="Quote"/>
    <w:uiPriority w:val="29"/>
    <w:rsid w:val="00FC296D"/>
    <w:rPr>
      <w:i/>
      <w:iCs/>
      <w:color w:val="808080" w:themeColor="background1" w:themeShade="80"/>
      <w:sz w:val="24"/>
      <w:szCs w:val="24"/>
    </w:rPr>
  </w:style>
  <w:style w:type="paragraph" w:styleId="IntenseQuote">
    <w:name w:val="Intense Quote"/>
    <w:basedOn w:val="Normal"/>
    <w:next w:val="Normal"/>
    <w:link w:val="IntenseQuoteChar"/>
    <w:uiPriority w:val="30"/>
    <w:qFormat/>
    <w:rsid w:val="00FC296D"/>
    <w:pPr>
      <w:spacing w:before="160" w:after="120" w:line="276" w:lineRule="auto"/>
      <w:ind w:left="936" w:right="936"/>
      <w:jc w:val="center"/>
    </w:pPr>
    <w:rPr>
      <w:rFonts w:asciiTheme="majorHAnsi" w:eastAsiaTheme="majorEastAsia" w:hAnsiTheme="majorHAnsi" w:cstheme="majorBidi"/>
      <w:caps/>
      <w:color w:val="31479E" w:themeColor="accent1" w:themeShade="BF"/>
      <w:sz w:val="28"/>
      <w:szCs w:val="28"/>
    </w:rPr>
  </w:style>
  <w:style w:type="character" w:customStyle="1" w:styleId="IntenseQuoteChar">
    <w:name w:val="Intense Quote Char"/>
    <w:basedOn w:val="DefaultParagraphFont"/>
    <w:link w:val="IntenseQuote"/>
    <w:uiPriority w:val="30"/>
    <w:rsid w:val="00FC296D"/>
    <w:rPr>
      <w:rFonts w:asciiTheme="majorHAnsi" w:eastAsiaTheme="majorEastAsia" w:hAnsiTheme="majorHAnsi" w:cstheme="majorBidi"/>
      <w:caps/>
      <w:color w:val="31479E" w:themeColor="accent1" w:themeShade="BF"/>
      <w:sz w:val="28"/>
      <w:szCs w:val="28"/>
    </w:rPr>
  </w:style>
  <w:style w:type="character" w:styleId="SubtleEmphasis">
    <w:name w:val="Subtle Emphasis"/>
    <w:basedOn w:val="DefaultParagraphFont"/>
    <w:uiPriority w:val="19"/>
    <w:qFormat/>
    <w:rsid w:val="00FC296D"/>
    <w:rPr>
      <w:i/>
      <w:iCs/>
      <w:color w:val="595959" w:themeColor="text1" w:themeTint="A6"/>
    </w:rPr>
  </w:style>
  <w:style w:type="character" w:styleId="IntenseEmphasis">
    <w:name w:val="Intense Emphasis"/>
    <w:basedOn w:val="DefaultParagraphFont"/>
    <w:uiPriority w:val="21"/>
    <w:qFormat/>
    <w:rsid w:val="00FC296D"/>
    <w:rPr>
      <w:b/>
      <w:bCs/>
      <w:i/>
      <w:iCs/>
      <w:color w:val="auto"/>
    </w:rPr>
  </w:style>
  <w:style w:type="character" w:styleId="SubtleReference">
    <w:name w:val="Subtle Reference"/>
    <w:basedOn w:val="DefaultParagraphFont"/>
    <w:uiPriority w:val="31"/>
    <w:qFormat/>
    <w:rsid w:val="00FC296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C296D"/>
    <w:rPr>
      <w:b/>
      <w:bCs/>
      <w:caps w:val="0"/>
      <w:smallCaps/>
      <w:color w:val="auto"/>
      <w:spacing w:val="0"/>
      <w:u w:val="single"/>
    </w:rPr>
  </w:style>
  <w:style w:type="character" w:styleId="BookTitle">
    <w:name w:val="Book Title"/>
    <w:basedOn w:val="DefaultParagraphFont"/>
    <w:uiPriority w:val="33"/>
    <w:qFormat/>
    <w:rsid w:val="00FC296D"/>
    <w:rPr>
      <w:b/>
      <w:bCs/>
      <w:caps w:val="0"/>
      <w:smallCaps/>
      <w:spacing w:val="0"/>
    </w:rPr>
  </w:style>
  <w:style w:type="paragraph" w:styleId="TOCHeading">
    <w:name w:val="TOC Heading"/>
    <w:basedOn w:val="Heading1"/>
    <w:next w:val="Normal"/>
    <w:uiPriority w:val="39"/>
    <w:semiHidden/>
    <w:unhideWhenUsed/>
    <w:qFormat/>
    <w:rsid w:val="00FC296D"/>
    <w:pPr>
      <w:outlineLvl w:val="9"/>
    </w:pPr>
  </w:style>
  <w:style w:type="character" w:styleId="LineNumber">
    <w:name w:val="line number"/>
    <w:basedOn w:val="DefaultParagraphFont"/>
    <w:uiPriority w:val="99"/>
    <w:semiHidden/>
    <w:unhideWhenUsed/>
    <w:qFormat/>
    <w:rsid w:val="00FC296D"/>
    <w:rPr>
      <w:rFonts w:asciiTheme="minorHAnsi" w:hAnsiTheme="minorHAnsi"/>
      <w:color w:val="404040" w:themeColor="text1" w:themeTint="BF"/>
      <w:sz w:val="18"/>
    </w:rPr>
  </w:style>
  <w:style w:type="table" w:customStyle="1" w:styleId="TableGrid2">
    <w:name w:val="Table Grid2"/>
    <w:basedOn w:val="TableNormal"/>
    <w:next w:val="TableGrid"/>
    <w:uiPriority w:val="39"/>
    <w:rsid w:val="00FC296D"/>
    <w:pPr>
      <w:spacing w:after="0" w:line="240" w:lineRule="auto"/>
    </w:pPr>
    <w:rPr>
      <w:rFonts w:eastAsia="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2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C296D"/>
    <w:pPr>
      <w:spacing w:after="0" w:line="240" w:lineRule="auto"/>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96D"/>
    <w:pPr>
      <w:tabs>
        <w:tab w:val="center" w:pos="4513"/>
        <w:tab w:val="right" w:pos="9026"/>
      </w:tabs>
      <w:spacing w:before="120" w:after="120" w:line="240" w:lineRule="auto"/>
    </w:pPr>
  </w:style>
  <w:style w:type="character" w:customStyle="1" w:styleId="HeaderChar">
    <w:name w:val="Header Char"/>
    <w:basedOn w:val="DefaultParagraphFont"/>
    <w:link w:val="Header"/>
    <w:uiPriority w:val="99"/>
    <w:rsid w:val="00FC296D"/>
    <w:rPr>
      <w:sz w:val="20"/>
    </w:rPr>
  </w:style>
  <w:style w:type="paragraph" w:styleId="Footer">
    <w:name w:val="footer"/>
    <w:basedOn w:val="Normal"/>
    <w:link w:val="FooterChar"/>
    <w:uiPriority w:val="99"/>
    <w:unhideWhenUsed/>
    <w:rsid w:val="00FC296D"/>
    <w:pPr>
      <w:tabs>
        <w:tab w:val="center" w:pos="4513"/>
        <w:tab w:val="right" w:pos="9026"/>
      </w:tabs>
      <w:spacing w:before="120" w:after="120" w:line="240" w:lineRule="auto"/>
    </w:pPr>
  </w:style>
  <w:style w:type="character" w:customStyle="1" w:styleId="FooterChar">
    <w:name w:val="Footer Char"/>
    <w:basedOn w:val="DefaultParagraphFont"/>
    <w:link w:val="Footer"/>
    <w:uiPriority w:val="99"/>
    <w:rsid w:val="00FC296D"/>
    <w:rPr>
      <w:sz w:val="20"/>
    </w:rPr>
  </w:style>
  <w:style w:type="paragraph" w:styleId="ListBullet">
    <w:name w:val="List Bullet"/>
    <w:basedOn w:val="Normal"/>
    <w:uiPriority w:val="99"/>
    <w:unhideWhenUsed/>
    <w:rsid w:val="00FC296D"/>
    <w:pPr>
      <w:numPr>
        <w:numId w:val="2"/>
      </w:numPr>
      <w:spacing w:before="120" w:after="120"/>
      <w:contextualSpacing/>
    </w:pPr>
  </w:style>
  <w:style w:type="paragraph" w:styleId="BalloonText">
    <w:name w:val="Balloon Text"/>
    <w:basedOn w:val="Normal"/>
    <w:link w:val="BalloonTextChar"/>
    <w:uiPriority w:val="99"/>
    <w:semiHidden/>
    <w:unhideWhenUsed/>
    <w:rsid w:val="00FC296D"/>
    <w:pPr>
      <w:spacing w:before="120" w:after="12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96D"/>
    <w:rPr>
      <w:rFonts w:ascii="Segoe UI" w:hAnsi="Segoe UI" w:cs="Segoe UI"/>
      <w:sz w:val="18"/>
      <w:szCs w:val="18"/>
    </w:rPr>
  </w:style>
  <w:style w:type="paragraph" w:styleId="ListParagraph">
    <w:name w:val="List Paragraph"/>
    <w:basedOn w:val="Normal"/>
    <w:uiPriority w:val="34"/>
    <w:qFormat/>
    <w:rsid w:val="00FC296D"/>
    <w:pPr>
      <w:spacing w:before="120" w:after="120"/>
      <w:ind w:left="720"/>
      <w:contextualSpacing/>
    </w:pPr>
  </w:style>
  <w:style w:type="table" w:styleId="TableGridLight">
    <w:name w:val="Grid Table Light"/>
    <w:basedOn w:val="TableNormal"/>
    <w:uiPriority w:val="40"/>
    <w:rsid w:val="00FC296D"/>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5">
    <w:name w:val="Grid Table 1 Light Accent 5"/>
    <w:basedOn w:val="TableNormal"/>
    <w:uiPriority w:val="46"/>
    <w:rsid w:val="00FC296D"/>
    <w:pPr>
      <w:spacing w:after="0" w:line="240" w:lineRule="auto"/>
    </w:pPr>
    <w:tblPr>
      <w:tblStyleRowBandSize w:val="1"/>
      <w:tblStyleColBandSize w:val="1"/>
      <w:tblBorders>
        <w:top w:val="single" w:sz="4" w:space="0" w:color="FFCCA6" w:themeColor="accent5" w:themeTint="66"/>
        <w:left w:val="single" w:sz="4" w:space="0" w:color="FFCCA6" w:themeColor="accent5" w:themeTint="66"/>
        <w:bottom w:val="single" w:sz="4" w:space="0" w:color="FFCCA6" w:themeColor="accent5" w:themeTint="66"/>
        <w:right w:val="single" w:sz="4" w:space="0" w:color="FFCCA6" w:themeColor="accent5" w:themeTint="66"/>
        <w:insideH w:val="single" w:sz="4" w:space="0" w:color="FFCCA6" w:themeColor="accent5" w:themeTint="66"/>
        <w:insideV w:val="single" w:sz="4" w:space="0" w:color="FFCCA6" w:themeColor="accent5" w:themeTint="66"/>
      </w:tblBorders>
    </w:tblPr>
    <w:tblStylePr w:type="firstRow">
      <w:rPr>
        <w:b/>
        <w:bCs/>
      </w:rPr>
      <w:tblPr/>
      <w:tcPr>
        <w:tcBorders>
          <w:bottom w:val="single" w:sz="12" w:space="0" w:color="FFB279" w:themeColor="accent5" w:themeTint="99"/>
        </w:tcBorders>
      </w:tcPr>
    </w:tblStylePr>
    <w:tblStylePr w:type="lastRow">
      <w:rPr>
        <w:b/>
        <w:bCs/>
      </w:rPr>
      <w:tblPr/>
      <w:tcPr>
        <w:tcBorders>
          <w:top w:val="double" w:sz="2" w:space="0" w:color="FFB279" w:themeColor="accent5" w:themeTint="99"/>
        </w:tcBorders>
      </w:tcPr>
    </w:tblStylePr>
    <w:tblStylePr w:type="firstCol">
      <w:rPr>
        <w:b/>
        <w:bCs/>
      </w:rPr>
    </w:tblStylePr>
    <w:tblStylePr w:type="lastCol">
      <w:rPr>
        <w:b/>
        <w:bCs/>
      </w:rPr>
    </w:tblStylePr>
  </w:style>
  <w:style w:type="character" w:customStyle="1" w:styleId="hgkelc">
    <w:name w:val="hgkelc"/>
    <w:basedOn w:val="DefaultParagraphFont"/>
    <w:rsid w:val="00C51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766460">
      <w:bodyDiv w:val="1"/>
      <w:marLeft w:val="0"/>
      <w:marRight w:val="0"/>
      <w:marTop w:val="0"/>
      <w:marBottom w:val="0"/>
      <w:divBdr>
        <w:top w:val="none" w:sz="0" w:space="0" w:color="auto"/>
        <w:left w:val="none" w:sz="0" w:space="0" w:color="auto"/>
        <w:bottom w:val="none" w:sz="0" w:space="0" w:color="auto"/>
        <w:right w:val="none" w:sz="0" w:space="0" w:color="auto"/>
      </w:divBdr>
      <w:divsChild>
        <w:div w:id="1012613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Custom 1">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Muncey</dc:creator>
  <cp:keywords/>
  <dc:description/>
  <cp:lastModifiedBy>A Muncey</cp:lastModifiedBy>
  <cp:revision>3</cp:revision>
  <dcterms:created xsi:type="dcterms:W3CDTF">2022-06-13T12:46:00Z</dcterms:created>
  <dcterms:modified xsi:type="dcterms:W3CDTF">2022-06-13T13:18:00Z</dcterms:modified>
</cp:coreProperties>
</file>